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396</w:t>
      </w:r>
    </w:p>
    <w:p>
      <w:r>
        <w:t>Bundesgericht (BGE), 2007-09-10, DE</w:t>
      </w:r>
    </w:p>
    <w:p>
      <w:r>
        <w:rPr>
          <w:b/>
        </w:rPr>
        <w:t xml:space="preserve">Quelle: </w:t>
      </w:r>
      <w:r>
        <w:t>https://mcp.opencaselaw.ch/entscheid/bge_133 II 396</w:t>
      </w:r>
    </w:p>
    <w:p>
      <w:r>
        <w:t>FR: ATF 133 II 396</w:t>
      </w:r>
    </w:p>
    <w:p>
      <w:r>
        <w:t>IT: DTF 133 II 396</w:t>
      </w:r>
    </w:p>
    <w:p>
      <w:pPr>
        <w:pStyle w:val="Heading2"/>
      </w:pPr>
      <w:r>
        <w:t>Regeste</w:t>
      </w:r>
    </w:p>
    <w:p>
      <w:r>
        <w:t>Regeste Art. 42 Abs. 2, Art. 83 lit. f, Art. 106 Abs. 2, Art. 113 ff. BGG; Beschwerde in öffentlich-rechtlichen Angelegenheiten/subsidiäre Verfassungsbeschwerde auf dem Gebiet der öffentlichen Beschaffungen. Die Zulässigkeit der Beschwerde in öffentlich-rechtlichen Angelegenheiten auf dem Gebiet der öffentlichen Beschaffungen setzt voraus, dass die in Art. 83 lit. f Ziff. 1 BGG erwähnten Schwellenwerte erreicht sind und sich zugleich eine Rechtsfrage von grundsätzlicher Bedeutung stellt (Art. 83 lit. f Ziff. 2 BGG). Die Erfüllung dieser letztgenannten Voraussetzung ist gemäss Art. 42 Abs. 2 BGG vom Beschwerdeführer darzutun, ansonsten auf die Beschwerde nicht eingetreten wird (E. 2.1 und 2.2). Weil die Eingabe den qualifizierten Begründungsanforderungen für die Geltendmachung von Grundrechtsverletzungen nicht genügt, kann sie auch nicht als subsidiäre Verfassungsbeschwerde entgegengenommen werden (E. 3.1-3.3).</w:t>
      </w:r>
    </w:p>
    <w:p>
      <w:pPr>
        <w:pStyle w:val="Heading2"/>
      </w:pPr>
      <w:r>
        <w:t>Erwägungen</w:t>
      </w:r>
    </w:p>
    <w:p>
      <w:r>
        <w:rPr>
          <w:b/>
        </w:rPr>
        <w:t>E. 2.1</w:t>
      </w:r>
    </w:p>
    <w:p>
      <w:r>
        <w:t>Art. 83 lit. f des Bundesgesetzes vom 17. Juni 2005 über das Bundesgericht (BGG; SR 173.110)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sowie wenn sich keine Rechtsfrage von grundsätzlicher Bedeutung stellt (Ziff. 2). Nach grammatikalischer und systematischer Auslegung von Art. 83 lit. f BGG ist die Beschwerde in öffentlich-rechtlichen Angelegenheiten damit bereits dann ausgeschlossen, wenn einer der beiden Ausschlussgründe gegeben ist: Die Zulässigkeit des Rechtsmittels setzt voraus, dass die erwähnten Schwellenwerte erreicht sind und sich zugleich eine Rechtsfrage von grundsätzlicher Bedeutung stellt. Diese Auslegung entspricht, wie in der Lehre heute (nahezu) einhellig angenommen wird, auch dem Sinn der Gesetzesbestimmung (HEINZ AEMISEGGER, Der Beschwerdegang in öffentlich-rechtlichen Angelegenheiten, in: Bernhard Ehrenzeller/Rainer J. Schweizer [Hrsg.], Die Reorganisation der Bundesrechtspflege - Neuerungen und Auswirkungen auf die Praxis, St. Gallen 2006, S. 138; PETER KARLEN, Das neue Bundesgerichtsgesetz, 2006, S. 50; ROBERT WOLF, Die neue Rechtsmittelordnung im Bund, S. 13, und JEAN-BAPTISTE ZUFFEREY, Les nouvelles voies de recours au niveau fédéral en matière de marchés publics, S. 17, beide in: Vergaberecht, Droit des Marchés publics, Baurecht, Sonderheft 06; MATTHIAS SUTER, Der neue Rechtsschutz in öffentlich-rechtlichen Angelegenheiten vor dem Bundesgericht, Diss. St. Gallen 2007, S. 177; HANSJÖRG SEILER, in: Seiler/von Werdt/ Güngerich, Bundesgerichtsgesetz, Bern 2007, N. 50 zu Art. 83 BGG , mit Hinweis auf das Protokoll der Kommission für Rechtsfragen des Nationalrates vom 1./2. Juli 2004, S. 47; contra: FRANÇOIS BELLANGER, Le recours en matière de droit public, in: François Bellanger et Thierry Tanquerel [Hrsg.], Les nouveaux recours fédéraux en droit public, 2006, S. 54).</w:t>
      </w:r>
    </w:p>
    <w:p>
      <w:r>
        <w:rPr>
          <w:b/>
        </w:rPr>
        <w:t>E. 2.2</w:t>
      </w:r>
    </w:p>
    <w:p>
      <w:r>
        <w:t>Ob im vorliegenden Fall die erforderliche Auftragssumme bei Dienstleistungen (gegenwärtig Fr. 248'950.-, vgl. Art. 6 Abs. 1 lit. b BoeB BGE 133 II 396 S. 399 in Verbindung mit Art. 1 lit. b der Verordnung des EVD vom 30. November 2006 über die Anpassung der Schwellenwerte im öffentlichen Beschaffungswesen für das Jahr 2007 [SR 172.056.12]) erreicht ist, bedarf keiner weiteren Prüfung. Es fehlt jedenfalls am Erfordernis, dass eine Rechtsfrage von grundsätzlicher Bedeutung (dazu ANDREAS GÜNGERICH, in: Seiler/von Werdt/ Güngerich, a.a.O., N. 8 f. zu Art. 74 BGG ) streitig sein muss. Gemäss Art. 42 Abs. 2 BGG obliegt es dem Beschwerdeführer, die Erfüllung dieser Voraussetzung darzutun. Die vorliegende Beschwerde enthält keine Ausführungen hiezu. Das Rechtsmittel der Beschwerde in öffentlich-rechtlichen Angelegenheiten erweist sich daher gemäss Art. 83 lit. f BGG als unzulässig.</w:t>
      </w:r>
    </w:p>
    <w:p>
      <w:r>
        <w:rPr>
          <w:b/>
        </w:rPr>
        <w:t>E. 3.1</w:t>
      </w:r>
    </w:p>
    <w:p>
      <w:r>
        <w:t>Da es sich um den Submissionsentscheid einer kantonalen Behörde bzw. einen diesbezüglichen letztinstanzlichen kantonalen Rechtsmittelentscheid handelt, ist indes zu prüfen, ob die vorliegende Eingabe als subsidiäre Verfassungsbeschwerde nach Art. 113 ff. BGG entgegenzunehmen ist. Gemäss Art. 119 BGG kann dieses Rechtsmittel in der gleichen Rechtsschrift eingereicht werden wie die ordentlichen Rechtsmittel,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3.2</w:t>
      </w:r>
    </w:p>
    <w:p>
      <w:r>
        <w:t>Mit der Verfassungsbeschwerde kann einzig die Verletzung verfassungsmässiger Rechte gerügt werden ( Art. 116 BGG ). Dies wirkt sich auf die Anforderungen aus, denen die Beschwerdeschrift genügen muss. Es gilt das so genannte Rügeprinzip ( Art. 106 Abs. 2 BGG , vgl. BBl 2001 S. 4344). Dieses verlangt, dass der Beschwerdeführer in seiner Eingabe dartut, welche verfassungsmässigen Rechte inwiefern durch den angefochtenen Entscheid verletzt worden sind. Eine Überprüfung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BGE 119 Ia 197 E. 1d S. 201). Wie unter der Herrschaft des BGE 133 II 396 S. 400 Bundesgesetzes vom 16. Dezember 1943 über die Organisation der Bundesrechtspflege (OG; BS 3 S. 531) müssen die erhobenen Rügen zudem in der Beschwerdeschrift selber enthalten sein; der blosse Verweis auf Ausführungen in anderen Rechtsschriften oder auf die Akten reicht nicht aus (vgl. BGE 129 I 113 E. 2.1 S. 120; BGE 115 Ia 27 E. 4a S. 30, je mit Hinweisen).</w:t>
      </w:r>
    </w:p>
    <w:p>
      <w:r>
        <w:rPr>
          <w:b/>
        </w:rPr>
        <w:t>E. 3.3</w:t>
      </w:r>
    </w:p>
    <w:p>
      <w:r>
        <w:t>Mit der vorliegenden Eingabe wird zwar eine Verletzung von Art. 9 BV (Verstösse gegen das Willkürverbot und gegen den Grundsatz von Treu und Glauben) gerügt; ihre Begründung vermag aber nicht den qualifizierten Anforderungen zu genügen, welche Art. 106 BGG (in Verbindung mit Art. 119 BGG ) für die Geltendmachung von Grundrechtsverletzungen stellt. Dies gilt insbesondere für die Anrufung des Willkürverbots. Der Beschwerdeführer muss,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Die vorliegende Beschwerdeschrift erschöpft sich, zum Teil unter unzulässigen Verweisen auf Rechtsschriften des kantonalen Verfahrens, in appellatorischer Kritik am angefochtenen Entscheid und am Vorgehen der Submissionsbehörde, ohne dass in klarer Weise dargelegt wird, worin die offensichtliche, in die Augen springende Unhaltbarkeit der angefochtenen Entscheidung bestehen soll. Die Eingabe erfüllt damit auch nicht die Formvorschriften für eine subsidiäre Verfassungsbeschwerde, weshalb sie nicht als solche entgegengenommen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